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35491" w14:textId="5C37310C" w:rsidR="00420F2E" w:rsidRDefault="00420F2E" w:rsidP="00420F2E">
      <w:pPr>
        <w:jc w:val="both"/>
        <w:rPr>
          <w:sz w:val="22"/>
          <w:szCs w:val="22"/>
          <w:lang w:val="hr-HR"/>
        </w:rPr>
      </w:pPr>
      <w:r w:rsidRPr="004C41E1">
        <w:rPr>
          <w:sz w:val="22"/>
          <w:szCs w:val="22"/>
          <w:lang w:val="hr-HR"/>
        </w:rPr>
        <w:t xml:space="preserve">Temeljem Odluke </w:t>
      </w:r>
      <w:r>
        <w:rPr>
          <w:sz w:val="22"/>
          <w:szCs w:val="22"/>
          <w:lang w:val="hr-HR"/>
        </w:rPr>
        <w:t>G</w:t>
      </w:r>
      <w:r w:rsidRPr="004C41E1">
        <w:rPr>
          <w:sz w:val="22"/>
          <w:szCs w:val="22"/>
          <w:lang w:val="hr-HR"/>
        </w:rPr>
        <w:t>radonačelnika Grada Poreča</w:t>
      </w:r>
      <w:r>
        <w:rPr>
          <w:sz w:val="22"/>
          <w:szCs w:val="22"/>
          <w:lang w:val="hr-HR"/>
        </w:rPr>
        <w:t>-</w:t>
      </w:r>
      <w:proofErr w:type="spellStart"/>
      <w:r w:rsidRPr="004C41E1">
        <w:rPr>
          <w:sz w:val="22"/>
          <w:szCs w:val="22"/>
          <w:lang w:val="hr-HR"/>
        </w:rPr>
        <w:t>Parenzo</w:t>
      </w:r>
      <w:proofErr w:type="spellEnd"/>
      <w:r w:rsidRPr="004C41E1">
        <w:rPr>
          <w:sz w:val="22"/>
          <w:szCs w:val="22"/>
          <w:lang w:val="hr-HR"/>
        </w:rPr>
        <w:t xml:space="preserve"> </w:t>
      </w:r>
      <w:r>
        <w:rPr>
          <w:sz w:val="22"/>
          <w:szCs w:val="22"/>
          <w:lang w:val="hr-HR"/>
        </w:rPr>
        <w:t>KLASA</w:t>
      </w:r>
      <w:r w:rsidRPr="004C41E1">
        <w:rPr>
          <w:sz w:val="22"/>
          <w:szCs w:val="22"/>
          <w:lang w:val="hr-HR"/>
        </w:rPr>
        <w:t xml:space="preserve">: </w:t>
      </w:r>
      <w:r>
        <w:rPr>
          <w:sz w:val="22"/>
          <w:szCs w:val="22"/>
          <w:lang w:val="hr-HR"/>
        </w:rPr>
        <w:t xml:space="preserve"> 024-01/26-01/270 U</w:t>
      </w:r>
      <w:r>
        <w:rPr>
          <w:sz w:val="22"/>
          <w:szCs w:val="22"/>
          <w:lang w:val="hr-HR"/>
        </w:rPr>
        <w:t>RBROJ</w:t>
      </w:r>
      <w:r w:rsidRPr="004C41E1">
        <w:rPr>
          <w:sz w:val="22"/>
          <w:szCs w:val="22"/>
          <w:lang w:val="hr-HR"/>
        </w:rPr>
        <w:t>:</w:t>
      </w:r>
      <w:r>
        <w:rPr>
          <w:sz w:val="22"/>
          <w:szCs w:val="22"/>
          <w:lang w:val="hr-HR"/>
        </w:rPr>
        <w:t xml:space="preserve"> 2163-6-09/01-26-2</w:t>
      </w:r>
      <w:r w:rsidRPr="004C41E1">
        <w:rPr>
          <w:sz w:val="22"/>
          <w:szCs w:val="22"/>
          <w:lang w:val="hr-HR"/>
        </w:rPr>
        <w:t xml:space="preserve"> od </w:t>
      </w:r>
      <w:r>
        <w:rPr>
          <w:sz w:val="22"/>
          <w:szCs w:val="22"/>
          <w:lang w:val="hr-HR"/>
        </w:rPr>
        <w:t>01. srpnja, 2026.</w:t>
      </w:r>
      <w:r>
        <w:rPr>
          <w:sz w:val="22"/>
          <w:szCs w:val="22"/>
          <w:lang w:val="hr-HR"/>
        </w:rPr>
        <w:t xml:space="preserve"> godine</w:t>
      </w:r>
      <w:r w:rsidRPr="004C41E1">
        <w:rPr>
          <w:sz w:val="22"/>
          <w:szCs w:val="22"/>
          <w:lang w:val="hr-HR"/>
        </w:rPr>
        <w:t>, Grad Poreč</w:t>
      </w:r>
      <w:r>
        <w:rPr>
          <w:sz w:val="22"/>
          <w:szCs w:val="22"/>
          <w:lang w:val="hr-HR"/>
        </w:rPr>
        <w:t>-</w:t>
      </w:r>
      <w:proofErr w:type="spellStart"/>
      <w:r w:rsidRPr="004C41E1">
        <w:rPr>
          <w:sz w:val="22"/>
          <w:szCs w:val="22"/>
          <w:lang w:val="hr-HR"/>
        </w:rPr>
        <w:t>Parenzo</w:t>
      </w:r>
      <w:proofErr w:type="spellEnd"/>
      <w:r w:rsidRPr="004C41E1">
        <w:rPr>
          <w:sz w:val="22"/>
          <w:szCs w:val="22"/>
          <w:lang w:val="hr-HR"/>
        </w:rPr>
        <w:t xml:space="preserve"> objavljuje</w:t>
      </w:r>
    </w:p>
    <w:p w14:paraId="43001DC3" w14:textId="77777777" w:rsidR="00420F2E" w:rsidRDefault="00420F2E" w:rsidP="00420F2E">
      <w:pPr>
        <w:jc w:val="both"/>
        <w:rPr>
          <w:sz w:val="22"/>
          <w:szCs w:val="22"/>
          <w:lang w:val="hr-HR"/>
        </w:rPr>
      </w:pPr>
    </w:p>
    <w:p w14:paraId="76828892" w14:textId="77777777" w:rsidR="00420F2E" w:rsidRDefault="00420F2E" w:rsidP="00420F2E">
      <w:pPr>
        <w:jc w:val="both"/>
        <w:rPr>
          <w:sz w:val="22"/>
          <w:szCs w:val="22"/>
          <w:lang w:val="hr-HR"/>
        </w:rPr>
      </w:pPr>
    </w:p>
    <w:p w14:paraId="08BE34DD" w14:textId="77777777" w:rsidR="00420F2E" w:rsidRDefault="00420F2E" w:rsidP="00420F2E">
      <w:pPr>
        <w:jc w:val="center"/>
        <w:rPr>
          <w:b/>
          <w:sz w:val="22"/>
          <w:szCs w:val="22"/>
          <w:lang w:val="hr-HR"/>
        </w:rPr>
      </w:pPr>
      <w:r>
        <w:rPr>
          <w:b/>
          <w:sz w:val="22"/>
          <w:szCs w:val="22"/>
          <w:lang w:val="hr-HR"/>
        </w:rPr>
        <w:t>JAVNI NATJEČAJ</w:t>
      </w:r>
    </w:p>
    <w:p w14:paraId="03FEC473" w14:textId="77777777" w:rsidR="00420F2E" w:rsidRDefault="00420F2E" w:rsidP="00420F2E">
      <w:pPr>
        <w:jc w:val="both"/>
        <w:rPr>
          <w:sz w:val="22"/>
          <w:szCs w:val="22"/>
          <w:lang w:val="hr-HR"/>
        </w:rPr>
      </w:pPr>
    </w:p>
    <w:p w14:paraId="5FC3322A" w14:textId="77777777" w:rsidR="00420F2E" w:rsidRPr="00F61460" w:rsidRDefault="00420F2E" w:rsidP="00420F2E">
      <w:pPr>
        <w:rPr>
          <w:lang w:val="hr-HR"/>
        </w:rPr>
      </w:pPr>
    </w:p>
    <w:p w14:paraId="5E684C8C" w14:textId="77777777" w:rsidR="00420F2E" w:rsidRPr="004C41E1" w:rsidRDefault="00420F2E" w:rsidP="00420F2E">
      <w:pPr>
        <w:pStyle w:val="Tijeloteksta2"/>
        <w:numPr>
          <w:ilvl w:val="0"/>
          <w:numId w:val="1"/>
        </w:numPr>
        <w:ind w:left="567" w:hanging="567"/>
        <w:rPr>
          <w:sz w:val="22"/>
          <w:szCs w:val="22"/>
        </w:rPr>
      </w:pPr>
      <w:r w:rsidRPr="004C41E1">
        <w:rPr>
          <w:sz w:val="22"/>
          <w:szCs w:val="22"/>
        </w:rPr>
        <w:t>Izlaž</w:t>
      </w:r>
      <w:r>
        <w:rPr>
          <w:sz w:val="22"/>
          <w:szCs w:val="22"/>
        </w:rPr>
        <w:t>e</w:t>
      </w:r>
      <w:r w:rsidRPr="004C41E1">
        <w:rPr>
          <w:sz w:val="22"/>
          <w:szCs w:val="22"/>
        </w:rPr>
        <w:t xml:space="preserve"> se prodaji nekretnin</w:t>
      </w:r>
      <w:r>
        <w:rPr>
          <w:sz w:val="22"/>
          <w:szCs w:val="22"/>
        </w:rPr>
        <w:t>a</w:t>
      </w:r>
      <w:r w:rsidRPr="004C41E1">
        <w:rPr>
          <w:sz w:val="22"/>
          <w:szCs w:val="22"/>
        </w:rPr>
        <w:t xml:space="preserve"> u vlasništvu Grada Poreča</w:t>
      </w:r>
      <w:r>
        <w:rPr>
          <w:sz w:val="22"/>
          <w:szCs w:val="22"/>
        </w:rPr>
        <w:t>-</w:t>
      </w:r>
      <w:proofErr w:type="spellStart"/>
      <w:r w:rsidRPr="004C41E1">
        <w:rPr>
          <w:sz w:val="22"/>
          <w:szCs w:val="22"/>
        </w:rPr>
        <w:t>Parenzo</w:t>
      </w:r>
      <w:proofErr w:type="spellEnd"/>
      <w:r w:rsidRPr="004C41E1">
        <w:rPr>
          <w:sz w:val="22"/>
          <w:szCs w:val="22"/>
        </w:rPr>
        <w:t xml:space="preserve"> i to:</w:t>
      </w:r>
    </w:p>
    <w:tbl>
      <w:tblPr>
        <w:tblpPr w:leftFromText="180" w:rightFromText="180" w:vertAnchor="text" w:horzAnchor="margin" w:tblpXSpec="center" w:tblpY="155"/>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369"/>
        <w:gridCol w:w="1080"/>
        <w:gridCol w:w="1365"/>
        <w:gridCol w:w="1870"/>
        <w:gridCol w:w="1870"/>
      </w:tblGrid>
      <w:tr w:rsidR="00420F2E" w:rsidRPr="004C41E1" w14:paraId="1ABC1606" w14:textId="77777777" w:rsidTr="00127E75">
        <w:trPr>
          <w:trHeight w:val="848"/>
        </w:trPr>
        <w:tc>
          <w:tcPr>
            <w:tcW w:w="1526" w:type="dxa"/>
            <w:shd w:val="clear" w:color="auto" w:fill="E6E6E6"/>
          </w:tcPr>
          <w:p w14:paraId="624D8826" w14:textId="77777777" w:rsidR="00420F2E" w:rsidRPr="004C41E1" w:rsidRDefault="00420F2E" w:rsidP="00127E75">
            <w:pPr>
              <w:jc w:val="center"/>
              <w:rPr>
                <w:sz w:val="22"/>
                <w:szCs w:val="22"/>
                <w:lang w:val="hr-HR"/>
              </w:rPr>
            </w:pPr>
            <w:r w:rsidRPr="004C41E1">
              <w:rPr>
                <w:sz w:val="22"/>
                <w:szCs w:val="22"/>
                <w:lang w:val="hr-HR"/>
              </w:rPr>
              <w:t>Katastarska čestica</w:t>
            </w:r>
          </w:p>
        </w:tc>
        <w:tc>
          <w:tcPr>
            <w:tcW w:w="1369" w:type="dxa"/>
            <w:shd w:val="clear" w:color="auto" w:fill="E6E6E6"/>
          </w:tcPr>
          <w:p w14:paraId="536D0C38" w14:textId="77777777" w:rsidR="00420F2E" w:rsidRPr="004C41E1" w:rsidRDefault="00420F2E" w:rsidP="00127E75">
            <w:pPr>
              <w:jc w:val="center"/>
              <w:rPr>
                <w:sz w:val="22"/>
                <w:szCs w:val="22"/>
                <w:lang w:val="hr-HR"/>
              </w:rPr>
            </w:pPr>
            <w:r w:rsidRPr="004C41E1">
              <w:rPr>
                <w:sz w:val="22"/>
                <w:szCs w:val="22"/>
                <w:lang w:val="hr-HR"/>
              </w:rPr>
              <w:t>Katastarska općina</w:t>
            </w:r>
          </w:p>
        </w:tc>
        <w:tc>
          <w:tcPr>
            <w:tcW w:w="1080" w:type="dxa"/>
            <w:shd w:val="clear" w:color="auto" w:fill="E6E6E6"/>
          </w:tcPr>
          <w:p w14:paraId="197AA832" w14:textId="77777777" w:rsidR="00420F2E" w:rsidRPr="004C41E1" w:rsidRDefault="00420F2E" w:rsidP="00127E75">
            <w:pPr>
              <w:jc w:val="center"/>
              <w:rPr>
                <w:sz w:val="22"/>
                <w:szCs w:val="22"/>
                <w:lang w:val="hr-HR"/>
              </w:rPr>
            </w:pPr>
            <w:r w:rsidRPr="004C41E1">
              <w:rPr>
                <w:sz w:val="22"/>
                <w:szCs w:val="22"/>
                <w:lang w:val="hr-HR"/>
              </w:rPr>
              <w:t>Naselje</w:t>
            </w:r>
          </w:p>
        </w:tc>
        <w:tc>
          <w:tcPr>
            <w:tcW w:w="1365" w:type="dxa"/>
            <w:shd w:val="clear" w:color="auto" w:fill="E6E6E6"/>
          </w:tcPr>
          <w:p w14:paraId="11935691" w14:textId="77777777" w:rsidR="00420F2E" w:rsidRPr="004C41E1" w:rsidRDefault="00420F2E" w:rsidP="00127E75">
            <w:pPr>
              <w:jc w:val="center"/>
              <w:rPr>
                <w:sz w:val="22"/>
                <w:szCs w:val="22"/>
                <w:lang w:val="hr-HR"/>
              </w:rPr>
            </w:pPr>
            <w:r w:rsidRPr="004C41E1">
              <w:rPr>
                <w:sz w:val="22"/>
                <w:szCs w:val="22"/>
                <w:lang w:val="hr-HR"/>
              </w:rPr>
              <w:t>Ukupna površina u m2</w:t>
            </w:r>
          </w:p>
        </w:tc>
        <w:tc>
          <w:tcPr>
            <w:tcW w:w="1870" w:type="dxa"/>
            <w:shd w:val="clear" w:color="auto" w:fill="E6E6E6"/>
          </w:tcPr>
          <w:p w14:paraId="5C6CA854" w14:textId="77777777" w:rsidR="00420F2E" w:rsidRPr="004C41E1" w:rsidRDefault="00420F2E" w:rsidP="00127E75">
            <w:pPr>
              <w:jc w:val="center"/>
              <w:rPr>
                <w:sz w:val="22"/>
                <w:szCs w:val="22"/>
                <w:lang w:val="hr-HR"/>
              </w:rPr>
            </w:pPr>
            <w:r>
              <w:rPr>
                <w:sz w:val="22"/>
                <w:szCs w:val="22"/>
                <w:lang w:val="hr-HR"/>
              </w:rPr>
              <w:t>Suvlasnički dio 60/90 u m2</w:t>
            </w:r>
          </w:p>
        </w:tc>
        <w:tc>
          <w:tcPr>
            <w:tcW w:w="1870" w:type="dxa"/>
            <w:shd w:val="clear" w:color="auto" w:fill="E6E6E6"/>
          </w:tcPr>
          <w:p w14:paraId="4F828C6F" w14:textId="77777777" w:rsidR="00420F2E" w:rsidRPr="004C41E1" w:rsidRDefault="00420F2E" w:rsidP="00127E75">
            <w:pPr>
              <w:jc w:val="center"/>
              <w:rPr>
                <w:sz w:val="22"/>
                <w:szCs w:val="22"/>
                <w:lang w:val="hr-HR"/>
              </w:rPr>
            </w:pPr>
            <w:r w:rsidRPr="004C41E1">
              <w:rPr>
                <w:sz w:val="22"/>
                <w:szCs w:val="22"/>
                <w:lang w:val="hr-HR"/>
              </w:rPr>
              <w:t>Ukupna početna cijena u</w:t>
            </w:r>
          </w:p>
          <w:p w14:paraId="5E526A12" w14:textId="77777777" w:rsidR="00420F2E" w:rsidRPr="004C41E1" w:rsidRDefault="00420F2E" w:rsidP="00127E75">
            <w:pPr>
              <w:jc w:val="center"/>
              <w:rPr>
                <w:sz w:val="22"/>
                <w:szCs w:val="22"/>
                <w:lang w:val="hr-HR"/>
              </w:rPr>
            </w:pPr>
            <w:r>
              <w:rPr>
                <w:sz w:val="22"/>
                <w:szCs w:val="22"/>
                <w:lang w:val="hr-HR"/>
              </w:rPr>
              <w:t>eurima</w:t>
            </w:r>
          </w:p>
        </w:tc>
      </w:tr>
      <w:tr w:rsidR="00420F2E" w:rsidRPr="004C41E1" w14:paraId="23D29A6A" w14:textId="77777777" w:rsidTr="00127E75">
        <w:trPr>
          <w:trHeight w:val="335"/>
        </w:trPr>
        <w:tc>
          <w:tcPr>
            <w:tcW w:w="1526" w:type="dxa"/>
          </w:tcPr>
          <w:p w14:paraId="3CA5A3B8" w14:textId="77777777" w:rsidR="00420F2E" w:rsidRPr="004C41E1" w:rsidRDefault="00420F2E" w:rsidP="00127E75">
            <w:pPr>
              <w:jc w:val="center"/>
              <w:rPr>
                <w:sz w:val="22"/>
                <w:szCs w:val="22"/>
                <w:lang w:val="hr-HR"/>
              </w:rPr>
            </w:pPr>
            <w:r>
              <w:rPr>
                <w:sz w:val="22"/>
                <w:szCs w:val="22"/>
                <w:lang w:val="hr-HR"/>
              </w:rPr>
              <w:t>192/7</w:t>
            </w:r>
          </w:p>
        </w:tc>
        <w:tc>
          <w:tcPr>
            <w:tcW w:w="1369" w:type="dxa"/>
          </w:tcPr>
          <w:p w14:paraId="3986A4E2" w14:textId="77777777" w:rsidR="00420F2E" w:rsidRPr="004C41E1" w:rsidRDefault="00420F2E" w:rsidP="00127E75">
            <w:pPr>
              <w:jc w:val="center"/>
              <w:rPr>
                <w:sz w:val="22"/>
                <w:szCs w:val="22"/>
                <w:lang w:val="hr-HR"/>
              </w:rPr>
            </w:pPr>
            <w:r>
              <w:rPr>
                <w:sz w:val="22"/>
                <w:szCs w:val="22"/>
                <w:lang w:val="hr-HR"/>
              </w:rPr>
              <w:t>Varvari</w:t>
            </w:r>
          </w:p>
        </w:tc>
        <w:tc>
          <w:tcPr>
            <w:tcW w:w="1080" w:type="dxa"/>
          </w:tcPr>
          <w:p w14:paraId="7D70402C" w14:textId="77777777" w:rsidR="00420F2E" w:rsidRPr="004C41E1" w:rsidRDefault="00420F2E" w:rsidP="00127E75">
            <w:pPr>
              <w:jc w:val="center"/>
              <w:rPr>
                <w:sz w:val="22"/>
                <w:szCs w:val="22"/>
                <w:lang w:val="hr-HR"/>
              </w:rPr>
            </w:pPr>
            <w:r>
              <w:rPr>
                <w:sz w:val="22"/>
                <w:szCs w:val="22"/>
                <w:lang w:val="hr-HR"/>
              </w:rPr>
              <w:t>Varvari</w:t>
            </w:r>
          </w:p>
        </w:tc>
        <w:tc>
          <w:tcPr>
            <w:tcW w:w="1365" w:type="dxa"/>
          </w:tcPr>
          <w:p w14:paraId="565AE287" w14:textId="77777777" w:rsidR="00420F2E" w:rsidRPr="004C41E1" w:rsidRDefault="00420F2E" w:rsidP="00127E75">
            <w:pPr>
              <w:jc w:val="center"/>
              <w:rPr>
                <w:sz w:val="22"/>
                <w:szCs w:val="22"/>
                <w:lang w:val="hr-HR"/>
              </w:rPr>
            </w:pPr>
            <w:r>
              <w:rPr>
                <w:sz w:val="22"/>
                <w:szCs w:val="22"/>
                <w:lang w:val="hr-HR"/>
              </w:rPr>
              <w:t>881</w:t>
            </w:r>
          </w:p>
        </w:tc>
        <w:tc>
          <w:tcPr>
            <w:tcW w:w="1870" w:type="dxa"/>
          </w:tcPr>
          <w:p w14:paraId="77B12956" w14:textId="77777777" w:rsidR="00420F2E" w:rsidRDefault="00420F2E" w:rsidP="00127E75">
            <w:pPr>
              <w:jc w:val="center"/>
              <w:rPr>
                <w:sz w:val="22"/>
                <w:szCs w:val="22"/>
                <w:lang w:val="hr-HR"/>
              </w:rPr>
            </w:pPr>
            <w:r>
              <w:rPr>
                <w:sz w:val="22"/>
                <w:szCs w:val="22"/>
                <w:lang w:val="hr-HR"/>
              </w:rPr>
              <w:t>587,33</w:t>
            </w:r>
          </w:p>
        </w:tc>
        <w:tc>
          <w:tcPr>
            <w:tcW w:w="1870" w:type="dxa"/>
          </w:tcPr>
          <w:p w14:paraId="628BAF57" w14:textId="77777777" w:rsidR="00420F2E" w:rsidRDefault="00420F2E" w:rsidP="00127E75">
            <w:pPr>
              <w:jc w:val="center"/>
              <w:rPr>
                <w:sz w:val="22"/>
                <w:szCs w:val="22"/>
                <w:lang w:val="hr-HR"/>
              </w:rPr>
            </w:pPr>
            <w:r>
              <w:rPr>
                <w:sz w:val="22"/>
                <w:szCs w:val="22"/>
                <w:lang w:val="hr-HR"/>
              </w:rPr>
              <w:t>114.300,29</w:t>
            </w:r>
          </w:p>
        </w:tc>
      </w:tr>
    </w:tbl>
    <w:p w14:paraId="617A8702" w14:textId="77777777" w:rsidR="00420F2E" w:rsidRDefault="00420F2E" w:rsidP="00420F2E">
      <w:pPr>
        <w:ind w:right="-1"/>
        <w:jc w:val="both"/>
        <w:rPr>
          <w:sz w:val="22"/>
          <w:szCs w:val="22"/>
          <w:lang w:val="hr-HR"/>
        </w:rPr>
      </w:pPr>
    </w:p>
    <w:p w14:paraId="349A41E7" w14:textId="77777777" w:rsidR="00420F2E" w:rsidRPr="00EA3F3D" w:rsidRDefault="00420F2E" w:rsidP="00420F2E">
      <w:pPr>
        <w:numPr>
          <w:ilvl w:val="0"/>
          <w:numId w:val="1"/>
        </w:numPr>
        <w:ind w:left="567" w:right="-1" w:hanging="567"/>
        <w:jc w:val="both"/>
        <w:rPr>
          <w:sz w:val="22"/>
          <w:szCs w:val="22"/>
          <w:lang w:val="hr-HR"/>
        </w:rPr>
      </w:pPr>
      <w:r w:rsidRPr="00EA3F3D">
        <w:rPr>
          <w:sz w:val="22"/>
          <w:szCs w:val="22"/>
          <w:lang w:val="hr-HR"/>
        </w:rPr>
        <w:t>Pravo podnošenja ponuda imaju fizičke osobe, državljani Republike Hrvatske i pravne osobe sa sjedištem u Republici Hrvatskoj.</w:t>
      </w:r>
    </w:p>
    <w:p w14:paraId="1CDEFD28" w14:textId="77777777" w:rsidR="00420F2E" w:rsidRPr="00EA3F3D" w:rsidRDefault="00420F2E" w:rsidP="00420F2E">
      <w:pPr>
        <w:ind w:left="567" w:right="-1"/>
        <w:jc w:val="both"/>
        <w:rPr>
          <w:sz w:val="22"/>
          <w:szCs w:val="22"/>
          <w:lang w:val="hr-HR"/>
        </w:rPr>
      </w:pPr>
      <w:r w:rsidRPr="00EA3F3D">
        <w:rPr>
          <w:sz w:val="22"/>
          <w:szCs w:val="22"/>
          <w:lang w:val="hr-HR"/>
        </w:rPr>
        <w:t>Pravo podnošenja ponuda imaju i strani državljani i pravne osobe sukladno odredbama članka 354. do 358. a Zakona o vlasništvu i drugim stvarnim pravima (NN br. 91/96., 68/98., 137/99., 22/00., 73/00., 129/00., 114/01., 79/06., 141/06., 146/08., 38/09., 153/09., 143/12., 152/14., 81/15. i 94/17.).</w:t>
      </w:r>
    </w:p>
    <w:p w14:paraId="31A2B0E3" w14:textId="77777777" w:rsidR="00420F2E" w:rsidRPr="00EA3F3D" w:rsidRDefault="00420F2E" w:rsidP="00420F2E">
      <w:pPr>
        <w:ind w:right="-1"/>
        <w:jc w:val="both"/>
        <w:rPr>
          <w:sz w:val="22"/>
          <w:szCs w:val="22"/>
          <w:lang w:val="hr-HR"/>
        </w:rPr>
      </w:pPr>
    </w:p>
    <w:p w14:paraId="4968C7A3" w14:textId="77777777" w:rsidR="00420F2E" w:rsidRPr="00EA3F3D" w:rsidRDefault="00420F2E" w:rsidP="00420F2E">
      <w:pPr>
        <w:numPr>
          <w:ilvl w:val="0"/>
          <w:numId w:val="1"/>
        </w:numPr>
        <w:ind w:left="567" w:right="-1" w:hanging="567"/>
        <w:jc w:val="both"/>
        <w:rPr>
          <w:sz w:val="22"/>
          <w:szCs w:val="22"/>
          <w:lang w:val="hr-HR"/>
        </w:rPr>
      </w:pPr>
      <w:r w:rsidRPr="00EA3F3D">
        <w:rPr>
          <w:sz w:val="22"/>
          <w:szCs w:val="22"/>
          <w:lang w:val="hr-HR"/>
        </w:rPr>
        <w:t>Na ime jamčevine ponuditelji su dužni uplatiti iznos od 10% od početne cijene nekretnine iz točke 1. ovog javnog natječaja za koju daju ponudu. Jamčevina se uplaćuje na žiro račun Grada Poreča-</w:t>
      </w:r>
      <w:proofErr w:type="spellStart"/>
      <w:r w:rsidRPr="00EA3F3D">
        <w:rPr>
          <w:sz w:val="22"/>
          <w:szCs w:val="22"/>
          <w:lang w:val="hr-HR"/>
        </w:rPr>
        <w:t>Parenzo</w:t>
      </w:r>
      <w:proofErr w:type="spellEnd"/>
      <w:r w:rsidRPr="00EA3F3D">
        <w:rPr>
          <w:sz w:val="22"/>
          <w:szCs w:val="22"/>
          <w:lang w:val="hr-HR"/>
        </w:rPr>
        <w:t xml:space="preserve">, kod Privredne banke Zagreb d.d. broj HR1323400091834800003, poziv na broj 68 7757 -OIB, sa naznakom: „Jamčevina za sudjelovanje na javnom natječaju za kupnju k.č.br. </w:t>
      </w:r>
      <w:r>
        <w:rPr>
          <w:sz w:val="22"/>
          <w:szCs w:val="22"/>
          <w:lang w:val="hr-HR"/>
        </w:rPr>
        <w:t>192/7</w:t>
      </w:r>
      <w:r w:rsidRPr="00EA3F3D">
        <w:rPr>
          <w:sz w:val="22"/>
          <w:szCs w:val="22"/>
          <w:lang w:val="hr-HR"/>
        </w:rPr>
        <w:t>,</w:t>
      </w:r>
      <w:r>
        <w:rPr>
          <w:sz w:val="22"/>
          <w:szCs w:val="22"/>
          <w:lang w:val="hr-HR"/>
        </w:rPr>
        <w:t xml:space="preserve"> </w:t>
      </w:r>
      <w:r w:rsidRPr="00EA3F3D">
        <w:rPr>
          <w:sz w:val="22"/>
          <w:szCs w:val="22"/>
          <w:lang w:val="hr-HR"/>
        </w:rPr>
        <w:t>k.o.</w:t>
      </w:r>
      <w:r>
        <w:rPr>
          <w:sz w:val="22"/>
          <w:szCs w:val="22"/>
          <w:lang w:val="hr-HR"/>
        </w:rPr>
        <w:t xml:space="preserve"> Varvari</w:t>
      </w:r>
      <w:r w:rsidRPr="00EA3F3D">
        <w:rPr>
          <w:sz w:val="22"/>
          <w:szCs w:val="22"/>
          <w:lang w:val="hr-HR"/>
        </w:rPr>
        <w:t xml:space="preserve"> u vlasništvu Grada Poreča-</w:t>
      </w:r>
      <w:proofErr w:type="spellStart"/>
      <w:r w:rsidRPr="00EA3F3D">
        <w:rPr>
          <w:sz w:val="22"/>
          <w:szCs w:val="22"/>
          <w:lang w:val="hr-HR"/>
        </w:rPr>
        <w:t>Parenzo</w:t>
      </w:r>
      <w:proofErr w:type="spellEnd"/>
      <w:r w:rsidRPr="00EA3F3D">
        <w:rPr>
          <w:sz w:val="22"/>
          <w:szCs w:val="22"/>
          <w:lang w:val="hr-HR"/>
        </w:rPr>
        <w:t>“.</w:t>
      </w:r>
    </w:p>
    <w:p w14:paraId="53BF8384" w14:textId="77777777" w:rsidR="00420F2E" w:rsidRPr="00EA3F3D" w:rsidRDefault="00420F2E" w:rsidP="00420F2E">
      <w:pPr>
        <w:ind w:left="567" w:right="-1"/>
        <w:jc w:val="both"/>
        <w:rPr>
          <w:sz w:val="22"/>
          <w:szCs w:val="22"/>
          <w:lang w:val="hr-HR"/>
        </w:rPr>
      </w:pPr>
      <w:r w:rsidRPr="00EA3F3D">
        <w:rPr>
          <w:sz w:val="22"/>
          <w:szCs w:val="22"/>
          <w:lang w:val="hr-HR"/>
        </w:rPr>
        <w:t>Izabranom najpovoljnijem ponuditelju jamčevina se uračunava u kupoprodajnu cijenu. Ponuditeljima koji ne budu izabrani kao najpovoljniji, jamčevina se vraća u roku od 15 (petnaest) dana od dana donošenja konačne odluke o ovom javnom natječaju.</w:t>
      </w:r>
    </w:p>
    <w:p w14:paraId="75254DD8" w14:textId="77777777" w:rsidR="00420F2E" w:rsidRPr="00EA3F3D" w:rsidRDefault="00420F2E" w:rsidP="00420F2E">
      <w:pPr>
        <w:ind w:right="-1"/>
        <w:jc w:val="both"/>
        <w:rPr>
          <w:sz w:val="22"/>
          <w:szCs w:val="22"/>
          <w:lang w:val="hr-HR"/>
        </w:rPr>
      </w:pPr>
    </w:p>
    <w:p w14:paraId="33285114" w14:textId="77777777" w:rsidR="00420F2E" w:rsidRPr="00EA3F3D" w:rsidRDefault="00420F2E" w:rsidP="00420F2E">
      <w:pPr>
        <w:numPr>
          <w:ilvl w:val="0"/>
          <w:numId w:val="1"/>
        </w:numPr>
        <w:ind w:left="567" w:right="-1" w:hanging="567"/>
        <w:jc w:val="both"/>
        <w:rPr>
          <w:sz w:val="22"/>
          <w:szCs w:val="22"/>
          <w:lang w:val="hr-HR"/>
        </w:rPr>
      </w:pPr>
      <w:r w:rsidRPr="00EA3F3D">
        <w:rPr>
          <w:sz w:val="22"/>
          <w:szCs w:val="22"/>
          <w:lang w:val="hr-HR"/>
        </w:rPr>
        <w:t>Najpovoljnijim ponuditeljem smatra se onaj koji ponudi najveći iznos kupoprodajne cijene za nekretninu na koju se odnosi njegova ponuda.</w:t>
      </w:r>
    </w:p>
    <w:p w14:paraId="2CBB3E9D" w14:textId="77777777" w:rsidR="00420F2E" w:rsidRPr="00EA3F3D" w:rsidRDefault="00420F2E" w:rsidP="00420F2E">
      <w:pPr>
        <w:ind w:left="567" w:right="-1"/>
        <w:jc w:val="both"/>
        <w:rPr>
          <w:sz w:val="22"/>
          <w:szCs w:val="22"/>
          <w:lang w:val="hr-HR"/>
        </w:rPr>
      </w:pPr>
      <w:r w:rsidRPr="00EA3F3D">
        <w:rPr>
          <w:sz w:val="22"/>
          <w:szCs w:val="22"/>
          <w:lang w:val="hr-HR"/>
        </w:rPr>
        <w:t xml:space="preserve">Najpovoljniji ponuditelj dužan je podmiriti trošak </w:t>
      </w:r>
      <w:r>
        <w:rPr>
          <w:sz w:val="22"/>
          <w:szCs w:val="22"/>
          <w:lang w:val="hr-HR"/>
        </w:rPr>
        <w:t xml:space="preserve">izrade elaborata </w:t>
      </w:r>
      <w:r w:rsidRPr="00EA3F3D">
        <w:rPr>
          <w:sz w:val="22"/>
          <w:szCs w:val="22"/>
          <w:lang w:val="hr-HR"/>
        </w:rPr>
        <w:t xml:space="preserve">procjene nekretnine u iznosu od </w:t>
      </w:r>
      <w:r>
        <w:rPr>
          <w:sz w:val="22"/>
          <w:szCs w:val="22"/>
          <w:lang w:val="hr-HR"/>
        </w:rPr>
        <w:t>500</w:t>
      </w:r>
      <w:r w:rsidRPr="00EA3F3D">
        <w:rPr>
          <w:sz w:val="22"/>
          <w:szCs w:val="22"/>
          <w:lang w:val="hr-HR"/>
        </w:rPr>
        <w:t>,</w:t>
      </w:r>
      <w:r>
        <w:rPr>
          <w:sz w:val="22"/>
          <w:szCs w:val="22"/>
          <w:lang w:val="hr-HR"/>
        </w:rPr>
        <w:t>00</w:t>
      </w:r>
      <w:r w:rsidRPr="00EA3F3D">
        <w:rPr>
          <w:sz w:val="22"/>
          <w:szCs w:val="22"/>
          <w:lang w:val="hr-HR"/>
        </w:rPr>
        <w:t xml:space="preserve"> eura.</w:t>
      </w:r>
    </w:p>
    <w:p w14:paraId="265DD86A" w14:textId="77777777" w:rsidR="00420F2E" w:rsidRPr="00EA3F3D" w:rsidRDefault="00420F2E" w:rsidP="00420F2E">
      <w:pPr>
        <w:ind w:left="567" w:right="-1"/>
        <w:jc w:val="both"/>
        <w:rPr>
          <w:sz w:val="22"/>
          <w:szCs w:val="22"/>
          <w:lang w:val="hr-HR"/>
        </w:rPr>
      </w:pPr>
      <w:r w:rsidRPr="00EA3F3D">
        <w:rPr>
          <w:sz w:val="22"/>
          <w:szCs w:val="22"/>
          <w:lang w:val="hr-HR"/>
        </w:rPr>
        <w:t>Izabrani najpovoljniji ponuditelj (kupac) dužan je iznos kupoprodajne cijene, umanjen za iznos uplaćene jamčevine, uplatiti na žiro račun Grada Poreča-</w:t>
      </w:r>
      <w:proofErr w:type="spellStart"/>
      <w:r w:rsidRPr="00EA3F3D">
        <w:rPr>
          <w:sz w:val="22"/>
          <w:szCs w:val="22"/>
          <w:lang w:val="hr-HR"/>
        </w:rPr>
        <w:t>Parenzo</w:t>
      </w:r>
      <w:proofErr w:type="spellEnd"/>
      <w:r w:rsidRPr="00EA3F3D">
        <w:rPr>
          <w:sz w:val="22"/>
          <w:szCs w:val="22"/>
          <w:lang w:val="hr-HR"/>
        </w:rPr>
        <w:t xml:space="preserve"> iz točke 3. ovog javnog natječaja.</w:t>
      </w:r>
    </w:p>
    <w:p w14:paraId="79442A01" w14:textId="77777777" w:rsidR="00420F2E" w:rsidRPr="00EA3F3D" w:rsidRDefault="00420F2E" w:rsidP="00420F2E">
      <w:pPr>
        <w:ind w:right="-1" w:firstLine="567"/>
        <w:jc w:val="both"/>
        <w:rPr>
          <w:sz w:val="22"/>
          <w:szCs w:val="22"/>
          <w:lang w:val="hr-HR"/>
        </w:rPr>
      </w:pPr>
      <w:r w:rsidRPr="00EA3F3D">
        <w:rPr>
          <w:sz w:val="22"/>
          <w:szCs w:val="22"/>
          <w:lang w:val="hr-HR"/>
        </w:rPr>
        <w:t>Kupac može kupoprodajnu cijenu platiti na jedan od sljedeća dva načina:</w:t>
      </w:r>
    </w:p>
    <w:p w14:paraId="470C5DDA" w14:textId="77777777" w:rsidR="00420F2E" w:rsidRPr="00EA3F3D" w:rsidRDefault="00420F2E" w:rsidP="00420F2E">
      <w:pPr>
        <w:numPr>
          <w:ilvl w:val="0"/>
          <w:numId w:val="2"/>
        </w:numPr>
        <w:ind w:left="1134" w:right="-1" w:hanging="567"/>
        <w:jc w:val="both"/>
        <w:rPr>
          <w:sz w:val="22"/>
          <w:szCs w:val="22"/>
          <w:lang w:val="hr-HR"/>
        </w:rPr>
      </w:pPr>
      <w:r w:rsidRPr="00EA3F3D">
        <w:rPr>
          <w:sz w:val="22"/>
          <w:szCs w:val="22"/>
          <w:lang w:val="hr-HR"/>
        </w:rPr>
        <w:t>uplatom ukupne kupoprodajne cijene u roku od najdulje 30 (trideset) dana od dana zaključenja kupoprodajnog ugovora. Ukoliko kupac ne plati ugovorenu kupoprodajnu cijenu u roku od 30 (trideset) dana od dana zaključenja kupoprodajnog ugovora, Grad Poreč-</w:t>
      </w:r>
      <w:proofErr w:type="spellStart"/>
      <w:r w:rsidRPr="00EA3F3D">
        <w:rPr>
          <w:sz w:val="22"/>
          <w:szCs w:val="22"/>
          <w:lang w:val="hr-HR"/>
        </w:rPr>
        <w:t>Parenzo</w:t>
      </w:r>
      <w:proofErr w:type="spellEnd"/>
      <w:r w:rsidRPr="00EA3F3D">
        <w:rPr>
          <w:sz w:val="22"/>
          <w:szCs w:val="22"/>
          <w:lang w:val="hr-HR"/>
        </w:rPr>
        <w:t xml:space="preserve"> ima pravo raskinuti ugovor, a uplaćenu jamčevinu zadržati;</w:t>
      </w:r>
    </w:p>
    <w:p w14:paraId="407946D7" w14:textId="77777777" w:rsidR="00420F2E" w:rsidRPr="00EA3F3D" w:rsidRDefault="00420F2E" w:rsidP="00420F2E">
      <w:pPr>
        <w:numPr>
          <w:ilvl w:val="0"/>
          <w:numId w:val="2"/>
        </w:numPr>
        <w:ind w:left="1134" w:right="-1" w:hanging="567"/>
        <w:jc w:val="both"/>
        <w:rPr>
          <w:sz w:val="22"/>
          <w:szCs w:val="22"/>
          <w:lang w:val="hr-HR"/>
        </w:rPr>
      </w:pPr>
      <w:r w:rsidRPr="00EA3F3D">
        <w:rPr>
          <w:sz w:val="22"/>
          <w:szCs w:val="22"/>
          <w:lang w:val="hr-HR"/>
        </w:rPr>
        <w:t>obročnom otplatom ukupne kupoprodajne cijene u najviše 36 (</w:t>
      </w:r>
      <w:proofErr w:type="spellStart"/>
      <w:r w:rsidRPr="00EA3F3D">
        <w:rPr>
          <w:sz w:val="22"/>
          <w:szCs w:val="22"/>
          <w:lang w:val="hr-HR"/>
        </w:rPr>
        <w:t>tridesetšest</w:t>
      </w:r>
      <w:proofErr w:type="spellEnd"/>
      <w:r w:rsidRPr="00EA3F3D">
        <w:rPr>
          <w:sz w:val="22"/>
          <w:szCs w:val="22"/>
          <w:lang w:val="hr-HR"/>
        </w:rPr>
        <w:t>) obroka uz godišnju kamatnu stopu od 7%, sukladno otplatnom planu koji će činiti sastavni dio kupoprodajnog ugovora. Ukoliko kupac dođe u zakašnjenje s otplatom pojedinog obroka utvrđenog otplatnim planom plaća zakonsku zateznu kamatu od dana proteka roka za uplatu tog obroka do dana njegova plaćanja. Kupac može do datuma predviđenog za otplatu posljednjeg obroka utvrđenog otplatnim planom uvijek isplatiti odjednom ostatak ugovorene kupoprodajne cijene. Taj ostatak se otplaćuje čist, bez ugovornih kamata i bez troškova. Ukoliko kupac ne plati ugovorenu kupoprodajnu cijenu po proteku 60 (šezdeset) dana od proteka roka za uplatu posljednjeg obroka utvrđenog otplatnim planom Grad Poreč-</w:t>
      </w:r>
      <w:proofErr w:type="spellStart"/>
      <w:r w:rsidRPr="00EA3F3D">
        <w:rPr>
          <w:sz w:val="22"/>
          <w:szCs w:val="22"/>
          <w:lang w:val="hr-HR"/>
        </w:rPr>
        <w:t>Parenzo</w:t>
      </w:r>
      <w:proofErr w:type="spellEnd"/>
      <w:r w:rsidRPr="00EA3F3D">
        <w:rPr>
          <w:sz w:val="22"/>
          <w:szCs w:val="22"/>
          <w:lang w:val="hr-HR"/>
        </w:rPr>
        <w:t xml:space="preserve"> ima pravo raskinuti ugovor a ukupno primljeni iznos umanjen za iznos jamčevine vratiti Kupcu.</w:t>
      </w:r>
    </w:p>
    <w:p w14:paraId="079F8D5C" w14:textId="77777777" w:rsidR="00420F2E" w:rsidRPr="00EA3F3D" w:rsidRDefault="00420F2E" w:rsidP="00420F2E">
      <w:pPr>
        <w:jc w:val="both"/>
        <w:rPr>
          <w:sz w:val="22"/>
          <w:szCs w:val="22"/>
          <w:lang w:val="hr-HR"/>
        </w:rPr>
      </w:pPr>
    </w:p>
    <w:p w14:paraId="0EFEC171" w14:textId="77777777" w:rsidR="00420F2E" w:rsidRPr="00EA3F3D" w:rsidRDefault="00420F2E" w:rsidP="00420F2E">
      <w:pPr>
        <w:numPr>
          <w:ilvl w:val="0"/>
          <w:numId w:val="1"/>
        </w:numPr>
        <w:ind w:left="567" w:hanging="567"/>
        <w:jc w:val="both"/>
        <w:rPr>
          <w:sz w:val="22"/>
          <w:szCs w:val="22"/>
          <w:lang w:val="hr-HR"/>
        </w:rPr>
      </w:pPr>
      <w:r w:rsidRPr="00EA3F3D">
        <w:rPr>
          <w:sz w:val="22"/>
          <w:szCs w:val="22"/>
          <w:lang w:val="hr-HR"/>
        </w:rPr>
        <w:t>Zemljište izloženo prodaji kupuje se po sistemu „viđeno-kupljeno“.</w:t>
      </w:r>
    </w:p>
    <w:p w14:paraId="5E4FB64F" w14:textId="77777777" w:rsidR="00420F2E" w:rsidRPr="00EA3F3D" w:rsidRDefault="00420F2E" w:rsidP="00420F2E">
      <w:pPr>
        <w:ind w:left="567" w:hanging="567"/>
        <w:jc w:val="both"/>
        <w:rPr>
          <w:sz w:val="22"/>
          <w:szCs w:val="22"/>
          <w:lang w:val="hr-HR"/>
        </w:rPr>
      </w:pPr>
      <w:r w:rsidRPr="00EA3F3D">
        <w:rPr>
          <w:sz w:val="22"/>
          <w:szCs w:val="22"/>
          <w:lang w:val="hr-HR"/>
        </w:rPr>
        <w:t>6.</w:t>
      </w:r>
      <w:r w:rsidRPr="00EA3F3D">
        <w:rPr>
          <w:sz w:val="22"/>
          <w:szCs w:val="22"/>
          <w:lang w:val="hr-HR"/>
        </w:rPr>
        <w:tab/>
        <w:t>Pisana ponuda mora sadržavati:</w:t>
      </w:r>
    </w:p>
    <w:p w14:paraId="3311DF9F" w14:textId="77777777" w:rsidR="00420F2E" w:rsidRPr="00EA3F3D" w:rsidRDefault="00420F2E" w:rsidP="00420F2E">
      <w:pPr>
        <w:numPr>
          <w:ilvl w:val="0"/>
          <w:numId w:val="3"/>
        </w:numPr>
        <w:ind w:left="1134" w:hanging="567"/>
        <w:jc w:val="both"/>
        <w:rPr>
          <w:sz w:val="22"/>
          <w:szCs w:val="22"/>
          <w:lang w:val="hr-HR"/>
        </w:rPr>
      </w:pPr>
      <w:r w:rsidRPr="00EA3F3D">
        <w:rPr>
          <w:sz w:val="22"/>
          <w:szCs w:val="22"/>
          <w:lang w:val="hr-HR"/>
        </w:rPr>
        <w:t>za fizičke osobe - ime, prezime, adresu, OIB;</w:t>
      </w:r>
    </w:p>
    <w:p w14:paraId="4FBCB851" w14:textId="77777777" w:rsidR="00420F2E" w:rsidRPr="00EA3F3D" w:rsidRDefault="00420F2E" w:rsidP="00420F2E">
      <w:pPr>
        <w:numPr>
          <w:ilvl w:val="0"/>
          <w:numId w:val="3"/>
        </w:numPr>
        <w:ind w:left="1134" w:hanging="567"/>
        <w:jc w:val="both"/>
        <w:rPr>
          <w:sz w:val="22"/>
          <w:szCs w:val="22"/>
          <w:lang w:val="hr-HR"/>
        </w:rPr>
      </w:pPr>
      <w:r w:rsidRPr="00EA3F3D">
        <w:rPr>
          <w:sz w:val="22"/>
          <w:szCs w:val="22"/>
          <w:lang w:val="hr-HR"/>
        </w:rPr>
        <w:t>za pravne osobe - naziv tvrtke, adresu sjedišta, OIB, ime i prezime osobe ovlaštene za zastupanje;</w:t>
      </w:r>
    </w:p>
    <w:p w14:paraId="15F7E84D" w14:textId="77777777" w:rsidR="00420F2E" w:rsidRPr="00EA3F3D" w:rsidRDefault="00420F2E" w:rsidP="00420F2E">
      <w:pPr>
        <w:numPr>
          <w:ilvl w:val="0"/>
          <w:numId w:val="3"/>
        </w:numPr>
        <w:ind w:left="1134" w:hanging="567"/>
        <w:jc w:val="both"/>
        <w:rPr>
          <w:sz w:val="22"/>
          <w:szCs w:val="22"/>
          <w:lang w:val="hr-HR"/>
        </w:rPr>
      </w:pPr>
      <w:r w:rsidRPr="00EA3F3D">
        <w:rPr>
          <w:sz w:val="22"/>
          <w:szCs w:val="22"/>
          <w:lang w:val="hr-HR"/>
        </w:rPr>
        <w:t>podatke o zemljištu za koje se daje ponuda;</w:t>
      </w:r>
    </w:p>
    <w:p w14:paraId="62978286" w14:textId="77777777" w:rsidR="00420F2E" w:rsidRPr="00EA3F3D" w:rsidRDefault="00420F2E" w:rsidP="00420F2E">
      <w:pPr>
        <w:numPr>
          <w:ilvl w:val="0"/>
          <w:numId w:val="3"/>
        </w:numPr>
        <w:ind w:left="1134" w:hanging="567"/>
        <w:jc w:val="both"/>
        <w:rPr>
          <w:sz w:val="22"/>
          <w:szCs w:val="22"/>
          <w:lang w:val="hr-HR"/>
        </w:rPr>
      </w:pPr>
      <w:r w:rsidRPr="00EA3F3D">
        <w:rPr>
          <w:sz w:val="22"/>
          <w:szCs w:val="22"/>
          <w:lang w:val="hr-HR"/>
        </w:rPr>
        <w:lastRenderedPageBreak/>
        <w:t>iznos ponuđene cijene;</w:t>
      </w:r>
    </w:p>
    <w:p w14:paraId="6977437E" w14:textId="77777777" w:rsidR="00420F2E" w:rsidRPr="00EA3F3D" w:rsidRDefault="00420F2E" w:rsidP="00420F2E">
      <w:pPr>
        <w:numPr>
          <w:ilvl w:val="0"/>
          <w:numId w:val="3"/>
        </w:numPr>
        <w:ind w:left="1134" w:hanging="567"/>
        <w:jc w:val="both"/>
        <w:rPr>
          <w:sz w:val="22"/>
          <w:szCs w:val="22"/>
          <w:lang w:val="hr-HR"/>
        </w:rPr>
      </w:pPr>
      <w:r w:rsidRPr="00EA3F3D">
        <w:rPr>
          <w:sz w:val="22"/>
          <w:szCs w:val="22"/>
          <w:lang w:val="hr-HR"/>
        </w:rPr>
        <w:t>jedan od načina plaćanja sukladno točki 4. ovog javnog natječaja;</w:t>
      </w:r>
    </w:p>
    <w:p w14:paraId="1F65196F" w14:textId="77777777" w:rsidR="00420F2E" w:rsidRPr="00EA3F3D" w:rsidRDefault="00420F2E" w:rsidP="00420F2E">
      <w:pPr>
        <w:numPr>
          <w:ilvl w:val="0"/>
          <w:numId w:val="3"/>
        </w:numPr>
        <w:ind w:left="1134" w:hanging="567"/>
        <w:jc w:val="both"/>
        <w:rPr>
          <w:sz w:val="22"/>
          <w:szCs w:val="22"/>
          <w:lang w:val="hr-HR"/>
        </w:rPr>
      </w:pPr>
      <w:r w:rsidRPr="00EA3F3D">
        <w:rPr>
          <w:sz w:val="22"/>
          <w:szCs w:val="22"/>
          <w:lang w:val="hr-HR"/>
        </w:rPr>
        <w:t>izjavu o prihvaćanju svih uvjeta ovog javnog natječaja, ovjerenu kod javnog bilježnika u Republici Hrvatskoj;</w:t>
      </w:r>
    </w:p>
    <w:p w14:paraId="048D76F1" w14:textId="77777777" w:rsidR="00420F2E" w:rsidRPr="00EA3F3D" w:rsidRDefault="00420F2E" w:rsidP="00420F2E">
      <w:pPr>
        <w:numPr>
          <w:ilvl w:val="0"/>
          <w:numId w:val="3"/>
        </w:numPr>
        <w:ind w:left="1134" w:hanging="567"/>
        <w:jc w:val="both"/>
        <w:rPr>
          <w:sz w:val="22"/>
          <w:szCs w:val="22"/>
          <w:lang w:val="hr-HR"/>
        </w:rPr>
      </w:pPr>
      <w:r w:rsidRPr="00EA3F3D">
        <w:rPr>
          <w:sz w:val="22"/>
          <w:szCs w:val="22"/>
          <w:lang w:val="hr-HR"/>
        </w:rPr>
        <w:t>dokaz da ponuditelj nema duga prema Gradu Poreču-</w:t>
      </w:r>
      <w:proofErr w:type="spellStart"/>
      <w:r w:rsidRPr="00EA3F3D">
        <w:rPr>
          <w:sz w:val="22"/>
          <w:szCs w:val="22"/>
          <w:lang w:val="hr-HR"/>
        </w:rPr>
        <w:t>Parenzo</w:t>
      </w:r>
      <w:proofErr w:type="spellEnd"/>
      <w:r w:rsidRPr="00EA3F3D">
        <w:rPr>
          <w:sz w:val="22"/>
          <w:szCs w:val="22"/>
          <w:lang w:val="hr-HR"/>
        </w:rPr>
        <w:t>;</w:t>
      </w:r>
    </w:p>
    <w:p w14:paraId="4218B732" w14:textId="77777777" w:rsidR="00420F2E" w:rsidRPr="00EA3F3D" w:rsidRDefault="00420F2E" w:rsidP="00420F2E">
      <w:pPr>
        <w:numPr>
          <w:ilvl w:val="0"/>
          <w:numId w:val="3"/>
        </w:numPr>
        <w:ind w:left="1134" w:hanging="567"/>
        <w:jc w:val="both"/>
        <w:rPr>
          <w:sz w:val="22"/>
          <w:szCs w:val="22"/>
          <w:lang w:val="hr-HR"/>
        </w:rPr>
      </w:pPr>
      <w:r w:rsidRPr="00EA3F3D">
        <w:rPr>
          <w:sz w:val="22"/>
          <w:szCs w:val="22"/>
          <w:lang w:val="hr-HR"/>
        </w:rPr>
        <w:t>broj računa i naziv banke ponuditelja za povrat jamčevine.</w:t>
      </w:r>
    </w:p>
    <w:p w14:paraId="4938C31E" w14:textId="77777777" w:rsidR="00420F2E" w:rsidRPr="00EA3F3D" w:rsidRDefault="00420F2E" w:rsidP="00420F2E">
      <w:pPr>
        <w:ind w:left="567"/>
        <w:jc w:val="both"/>
        <w:rPr>
          <w:sz w:val="22"/>
          <w:szCs w:val="22"/>
          <w:lang w:val="hr-HR"/>
        </w:rPr>
      </w:pPr>
    </w:p>
    <w:p w14:paraId="21A23A74" w14:textId="77777777" w:rsidR="00420F2E" w:rsidRPr="00EA3F3D" w:rsidRDefault="00420F2E" w:rsidP="00420F2E">
      <w:pPr>
        <w:ind w:firstLine="567"/>
        <w:jc w:val="both"/>
        <w:rPr>
          <w:sz w:val="22"/>
          <w:szCs w:val="22"/>
          <w:lang w:val="hr-HR"/>
        </w:rPr>
      </w:pPr>
      <w:r w:rsidRPr="00EA3F3D">
        <w:rPr>
          <w:sz w:val="22"/>
          <w:szCs w:val="22"/>
          <w:lang w:val="hr-HR"/>
        </w:rPr>
        <w:t>Uz ponudu ponuditelji su dužni priložiti:</w:t>
      </w:r>
    </w:p>
    <w:p w14:paraId="67A944D6" w14:textId="77777777" w:rsidR="00420F2E" w:rsidRPr="00EA3F3D" w:rsidRDefault="00420F2E" w:rsidP="00420F2E">
      <w:pPr>
        <w:numPr>
          <w:ilvl w:val="0"/>
          <w:numId w:val="4"/>
        </w:numPr>
        <w:ind w:left="1134" w:hanging="567"/>
        <w:jc w:val="both"/>
        <w:rPr>
          <w:sz w:val="22"/>
          <w:szCs w:val="22"/>
          <w:lang w:val="hr-HR"/>
        </w:rPr>
      </w:pPr>
      <w:r w:rsidRPr="00EA3F3D">
        <w:rPr>
          <w:sz w:val="22"/>
          <w:szCs w:val="22"/>
          <w:lang w:val="hr-HR"/>
        </w:rPr>
        <w:t>dokaz o državljanskom statusu, u izvorniku ili presli</w:t>
      </w:r>
      <w:r>
        <w:rPr>
          <w:sz w:val="22"/>
          <w:szCs w:val="22"/>
          <w:lang w:val="hr-HR"/>
        </w:rPr>
        <w:t>ci ( za fizič</w:t>
      </w:r>
      <w:r w:rsidRPr="00EA3F3D">
        <w:rPr>
          <w:sz w:val="22"/>
          <w:szCs w:val="22"/>
          <w:lang w:val="hr-HR"/>
        </w:rPr>
        <w:t>ke osobe);</w:t>
      </w:r>
    </w:p>
    <w:p w14:paraId="63C2B7A2" w14:textId="77777777" w:rsidR="00420F2E" w:rsidRPr="00EA3F3D" w:rsidRDefault="00420F2E" w:rsidP="00420F2E">
      <w:pPr>
        <w:numPr>
          <w:ilvl w:val="0"/>
          <w:numId w:val="4"/>
        </w:numPr>
        <w:ind w:left="1134" w:hanging="567"/>
        <w:jc w:val="both"/>
        <w:rPr>
          <w:sz w:val="22"/>
          <w:szCs w:val="22"/>
          <w:lang w:val="hr-HR"/>
        </w:rPr>
      </w:pPr>
      <w:r w:rsidRPr="00EA3F3D">
        <w:rPr>
          <w:sz w:val="22"/>
          <w:szCs w:val="22"/>
          <w:lang w:val="hr-HR"/>
        </w:rPr>
        <w:t>dokaz o registraciji, u izvorniku ili u ovjerenom presliku, ne stariju od 6 mjeseci (za pravne osobe);</w:t>
      </w:r>
    </w:p>
    <w:p w14:paraId="400B9F4A" w14:textId="77777777" w:rsidR="00420F2E" w:rsidRPr="00EA3F3D" w:rsidRDefault="00420F2E" w:rsidP="00420F2E">
      <w:pPr>
        <w:numPr>
          <w:ilvl w:val="0"/>
          <w:numId w:val="4"/>
        </w:numPr>
        <w:ind w:left="1134" w:hanging="567"/>
        <w:jc w:val="both"/>
        <w:rPr>
          <w:sz w:val="22"/>
          <w:szCs w:val="22"/>
          <w:lang w:val="hr-HR"/>
        </w:rPr>
      </w:pPr>
      <w:r w:rsidRPr="00EA3F3D">
        <w:rPr>
          <w:sz w:val="22"/>
          <w:szCs w:val="22"/>
          <w:lang w:val="hr-HR"/>
        </w:rPr>
        <w:t>dokaz o uplaćenoj jamčevini, u izvorniku;</w:t>
      </w:r>
    </w:p>
    <w:p w14:paraId="18EAA0C5" w14:textId="77777777" w:rsidR="00420F2E" w:rsidRPr="00EA3F3D" w:rsidRDefault="00420F2E" w:rsidP="00420F2E">
      <w:pPr>
        <w:numPr>
          <w:ilvl w:val="0"/>
          <w:numId w:val="4"/>
        </w:numPr>
        <w:ind w:left="1134" w:hanging="567"/>
        <w:jc w:val="both"/>
        <w:rPr>
          <w:sz w:val="22"/>
          <w:szCs w:val="22"/>
          <w:lang w:val="hr-HR"/>
        </w:rPr>
      </w:pPr>
      <w:r w:rsidRPr="00EA3F3D">
        <w:rPr>
          <w:sz w:val="22"/>
          <w:szCs w:val="22"/>
          <w:lang w:val="hr-HR"/>
        </w:rPr>
        <w:t>punomoć osobe ovlaštene za zastupanje (ako ponuditelja zastupa punomoćnik), u izvorniku.</w:t>
      </w:r>
    </w:p>
    <w:p w14:paraId="7C265298" w14:textId="77777777" w:rsidR="00420F2E" w:rsidRPr="00EA3F3D" w:rsidRDefault="00420F2E" w:rsidP="00420F2E">
      <w:pPr>
        <w:jc w:val="both"/>
        <w:rPr>
          <w:sz w:val="22"/>
          <w:szCs w:val="22"/>
          <w:lang w:val="hr-HR"/>
        </w:rPr>
      </w:pPr>
    </w:p>
    <w:p w14:paraId="653B97CA" w14:textId="77777777" w:rsidR="00420F2E" w:rsidRPr="00EA3F3D" w:rsidRDefault="00420F2E" w:rsidP="00420F2E">
      <w:pPr>
        <w:numPr>
          <w:ilvl w:val="0"/>
          <w:numId w:val="5"/>
        </w:numPr>
        <w:ind w:left="567" w:hanging="567"/>
        <w:jc w:val="both"/>
        <w:rPr>
          <w:sz w:val="22"/>
          <w:szCs w:val="22"/>
          <w:lang w:val="hr-HR"/>
        </w:rPr>
      </w:pPr>
      <w:r w:rsidRPr="00EA3F3D">
        <w:rPr>
          <w:sz w:val="22"/>
          <w:szCs w:val="22"/>
          <w:lang w:val="hr-HR"/>
        </w:rPr>
        <w:t>Pisane ponude predaju se putem pošte ili osobno u prijamnu pisarnicu Grada Poreča-</w:t>
      </w:r>
      <w:proofErr w:type="spellStart"/>
      <w:r w:rsidRPr="00EA3F3D">
        <w:rPr>
          <w:sz w:val="22"/>
          <w:szCs w:val="22"/>
          <w:lang w:val="hr-HR"/>
        </w:rPr>
        <w:t>Parenzo</w:t>
      </w:r>
      <w:proofErr w:type="spellEnd"/>
      <w:r w:rsidRPr="00EA3F3D">
        <w:rPr>
          <w:sz w:val="22"/>
          <w:szCs w:val="22"/>
          <w:lang w:val="hr-HR"/>
        </w:rPr>
        <w:t>, O. m. Tita br. 4, u zatvorenoj omotnici s naznakom “Javni natječaj za kupnju nekretnin</w:t>
      </w:r>
      <w:r>
        <w:rPr>
          <w:sz w:val="22"/>
          <w:szCs w:val="22"/>
          <w:lang w:val="hr-HR"/>
        </w:rPr>
        <w:t>e</w:t>
      </w:r>
      <w:r w:rsidRPr="00EA3F3D">
        <w:rPr>
          <w:sz w:val="22"/>
          <w:szCs w:val="22"/>
          <w:lang w:val="hr-HR"/>
        </w:rPr>
        <w:t xml:space="preserve"> k.č.br. </w:t>
      </w:r>
      <w:r>
        <w:rPr>
          <w:sz w:val="22"/>
          <w:szCs w:val="22"/>
          <w:lang w:val="hr-HR"/>
        </w:rPr>
        <w:t>192/7</w:t>
      </w:r>
      <w:r w:rsidRPr="00EA3F3D">
        <w:rPr>
          <w:sz w:val="22"/>
          <w:szCs w:val="22"/>
          <w:lang w:val="hr-HR"/>
        </w:rPr>
        <w:t xml:space="preserve">, k.o. </w:t>
      </w:r>
      <w:proofErr w:type="spellStart"/>
      <w:r>
        <w:rPr>
          <w:sz w:val="22"/>
          <w:szCs w:val="22"/>
          <w:lang w:val="hr-HR"/>
        </w:rPr>
        <w:t>Vravari</w:t>
      </w:r>
      <w:proofErr w:type="spellEnd"/>
      <w:r w:rsidRPr="00EA3F3D">
        <w:rPr>
          <w:sz w:val="22"/>
          <w:szCs w:val="22"/>
          <w:lang w:val="hr-HR"/>
        </w:rPr>
        <w:t>, u vlasništvu Grada Poreča-</w:t>
      </w:r>
      <w:proofErr w:type="spellStart"/>
      <w:r w:rsidRPr="00EA3F3D">
        <w:rPr>
          <w:sz w:val="22"/>
          <w:szCs w:val="22"/>
          <w:lang w:val="hr-HR"/>
        </w:rPr>
        <w:t>Parenzo</w:t>
      </w:r>
      <w:proofErr w:type="spellEnd"/>
      <w:r w:rsidRPr="00EA3F3D">
        <w:rPr>
          <w:sz w:val="22"/>
          <w:szCs w:val="22"/>
          <w:lang w:val="hr-HR"/>
        </w:rPr>
        <w:t xml:space="preserve"> – ne otvaraj”.</w:t>
      </w:r>
    </w:p>
    <w:p w14:paraId="3A3B02EA" w14:textId="77777777" w:rsidR="00420F2E" w:rsidRPr="00EA3F3D" w:rsidRDefault="00420F2E" w:rsidP="00420F2E">
      <w:pPr>
        <w:jc w:val="both"/>
        <w:rPr>
          <w:sz w:val="22"/>
          <w:szCs w:val="22"/>
          <w:lang w:val="hr-HR"/>
        </w:rPr>
      </w:pPr>
    </w:p>
    <w:p w14:paraId="04EB9F62" w14:textId="77777777" w:rsidR="00420F2E" w:rsidRPr="00EA3F3D" w:rsidRDefault="00420F2E" w:rsidP="00420F2E">
      <w:pPr>
        <w:numPr>
          <w:ilvl w:val="0"/>
          <w:numId w:val="5"/>
        </w:numPr>
        <w:ind w:left="567" w:hanging="567"/>
        <w:jc w:val="both"/>
        <w:rPr>
          <w:sz w:val="22"/>
          <w:szCs w:val="22"/>
          <w:lang w:val="hr-HR"/>
        </w:rPr>
      </w:pPr>
      <w:r w:rsidRPr="00EA3F3D">
        <w:rPr>
          <w:sz w:val="22"/>
          <w:szCs w:val="22"/>
          <w:lang w:val="hr-HR"/>
        </w:rPr>
        <w:t>Rok za podnošenje pisanih ponuda je 8 (osam) dana od dana objave javnog natječaja na oglasnoj ploči Grada Poreča-</w:t>
      </w:r>
      <w:proofErr w:type="spellStart"/>
      <w:r w:rsidRPr="00EA3F3D">
        <w:rPr>
          <w:sz w:val="22"/>
          <w:szCs w:val="22"/>
          <w:lang w:val="hr-HR"/>
        </w:rPr>
        <w:t>Parenzo</w:t>
      </w:r>
      <w:proofErr w:type="spellEnd"/>
      <w:r w:rsidRPr="00EA3F3D">
        <w:rPr>
          <w:sz w:val="22"/>
          <w:szCs w:val="22"/>
          <w:lang w:val="hr-HR"/>
        </w:rPr>
        <w:t xml:space="preserve"> i obavijesti o tome na stranicama Grada Poreča-</w:t>
      </w:r>
      <w:proofErr w:type="spellStart"/>
      <w:r w:rsidRPr="00EA3F3D">
        <w:rPr>
          <w:sz w:val="22"/>
          <w:szCs w:val="22"/>
          <w:lang w:val="hr-HR"/>
        </w:rPr>
        <w:t>Parenzo</w:t>
      </w:r>
      <w:proofErr w:type="spellEnd"/>
      <w:r w:rsidRPr="00EA3F3D">
        <w:rPr>
          <w:sz w:val="22"/>
          <w:szCs w:val="22"/>
          <w:lang w:val="hr-HR"/>
        </w:rPr>
        <w:t xml:space="preserve"> (</w:t>
      </w:r>
      <w:hyperlink r:id="rId5" w:history="1">
        <w:r w:rsidRPr="00EA3F3D">
          <w:rPr>
            <w:color w:val="0000FF"/>
            <w:sz w:val="22"/>
            <w:szCs w:val="22"/>
            <w:u w:val="single"/>
            <w:lang w:val="hr-HR"/>
          </w:rPr>
          <w:t>www.porec.hr</w:t>
        </w:r>
      </w:hyperlink>
      <w:r w:rsidRPr="00EA3F3D">
        <w:rPr>
          <w:sz w:val="22"/>
          <w:szCs w:val="22"/>
          <w:lang w:val="hr-HR"/>
        </w:rPr>
        <w:t>) te počinje teći sljedećeg dana od dana objave.</w:t>
      </w:r>
    </w:p>
    <w:p w14:paraId="5E4E13F1" w14:textId="77777777" w:rsidR="00420F2E" w:rsidRPr="00EA3F3D" w:rsidRDefault="00420F2E" w:rsidP="00420F2E">
      <w:pPr>
        <w:jc w:val="both"/>
        <w:rPr>
          <w:sz w:val="22"/>
          <w:szCs w:val="22"/>
          <w:lang w:val="hr-HR"/>
        </w:rPr>
      </w:pPr>
    </w:p>
    <w:p w14:paraId="745FFE3B" w14:textId="77777777" w:rsidR="00420F2E" w:rsidRPr="00EA3F3D" w:rsidRDefault="00420F2E" w:rsidP="00420F2E">
      <w:pPr>
        <w:numPr>
          <w:ilvl w:val="0"/>
          <w:numId w:val="5"/>
        </w:numPr>
        <w:ind w:left="567" w:hanging="567"/>
        <w:jc w:val="both"/>
        <w:rPr>
          <w:sz w:val="22"/>
          <w:szCs w:val="22"/>
          <w:lang w:val="hr-HR"/>
        </w:rPr>
      </w:pPr>
      <w:r w:rsidRPr="00EA3F3D">
        <w:rPr>
          <w:sz w:val="22"/>
          <w:szCs w:val="22"/>
          <w:lang w:val="hr-HR"/>
        </w:rPr>
        <w:t xml:space="preserve">Sve stručne poslove u vezi ovog javnog natječaja provodi Upravni odjel za </w:t>
      </w:r>
      <w:r>
        <w:rPr>
          <w:sz w:val="22"/>
          <w:szCs w:val="22"/>
          <w:lang w:val="hr-HR"/>
        </w:rPr>
        <w:t>imovinske i pravne poslove</w:t>
      </w:r>
      <w:r w:rsidRPr="00EA3F3D">
        <w:rPr>
          <w:sz w:val="22"/>
          <w:szCs w:val="22"/>
          <w:lang w:val="hr-HR"/>
        </w:rPr>
        <w:t xml:space="preserve"> Grada Poreča-</w:t>
      </w:r>
      <w:proofErr w:type="spellStart"/>
      <w:r w:rsidRPr="00EA3F3D">
        <w:rPr>
          <w:sz w:val="22"/>
          <w:szCs w:val="22"/>
          <w:lang w:val="hr-HR"/>
        </w:rPr>
        <w:t>Parenzo</w:t>
      </w:r>
      <w:proofErr w:type="spellEnd"/>
      <w:r w:rsidRPr="00EA3F3D">
        <w:rPr>
          <w:sz w:val="22"/>
          <w:szCs w:val="22"/>
          <w:lang w:val="hr-HR"/>
        </w:rPr>
        <w:t>.</w:t>
      </w:r>
    </w:p>
    <w:p w14:paraId="21A91D0A" w14:textId="77777777" w:rsidR="00420F2E" w:rsidRPr="00EA3F3D" w:rsidRDefault="00420F2E" w:rsidP="00420F2E">
      <w:pPr>
        <w:ind w:left="567"/>
        <w:jc w:val="both"/>
        <w:rPr>
          <w:sz w:val="22"/>
          <w:szCs w:val="22"/>
          <w:lang w:val="hr-HR"/>
        </w:rPr>
      </w:pPr>
      <w:r w:rsidRPr="00EA3F3D">
        <w:rPr>
          <w:sz w:val="22"/>
          <w:szCs w:val="22"/>
          <w:lang w:val="hr-HR"/>
        </w:rPr>
        <w:t>Zakašnjele, nepotpune i neodređene ponude, kao i one s ponuđenom cijenom nižom od početne cijene, neće se uzeti u razmatranje.</w:t>
      </w:r>
    </w:p>
    <w:p w14:paraId="6FCBC8FE" w14:textId="77777777" w:rsidR="00420F2E" w:rsidRPr="00EA3F3D" w:rsidRDefault="00420F2E" w:rsidP="00420F2E">
      <w:pPr>
        <w:jc w:val="both"/>
        <w:rPr>
          <w:sz w:val="22"/>
          <w:szCs w:val="22"/>
          <w:lang w:val="hr-HR"/>
        </w:rPr>
      </w:pPr>
    </w:p>
    <w:p w14:paraId="77EAB999" w14:textId="77777777" w:rsidR="00420F2E" w:rsidRPr="00EA3F3D" w:rsidRDefault="00420F2E" w:rsidP="00420F2E">
      <w:pPr>
        <w:numPr>
          <w:ilvl w:val="0"/>
          <w:numId w:val="5"/>
        </w:numPr>
        <w:ind w:left="567" w:hanging="567"/>
        <w:jc w:val="both"/>
        <w:rPr>
          <w:sz w:val="22"/>
          <w:szCs w:val="22"/>
          <w:lang w:val="hr-HR"/>
        </w:rPr>
      </w:pPr>
      <w:r w:rsidRPr="00EA3F3D">
        <w:rPr>
          <w:sz w:val="22"/>
          <w:szCs w:val="22"/>
          <w:lang w:val="hr-HR"/>
        </w:rPr>
        <w:t>O rezultatima javnog natječaja ponuditelji će biti obaviješteni nakon donošenja konačne odluke o javnom natječaju, koju donosi gradonačelnik Grada Poreča-</w:t>
      </w:r>
      <w:proofErr w:type="spellStart"/>
      <w:r w:rsidRPr="00EA3F3D">
        <w:rPr>
          <w:sz w:val="22"/>
          <w:szCs w:val="22"/>
          <w:lang w:val="hr-HR"/>
        </w:rPr>
        <w:t>Parenzo</w:t>
      </w:r>
      <w:proofErr w:type="spellEnd"/>
      <w:r w:rsidRPr="00EA3F3D">
        <w:rPr>
          <w:sz w:val="22"/>
          <w:szCs w:val="22"/>
          <w:lang w:val="hr-HR"/>
        </w:rPr>
        <w:t>.</w:t>
      </w:r>
    </w:p>
    <w:p w14:paraId="02DF1035" w14:textId="77777777" w:rsidR="00420F2E" w:rsidRPr="00EA3F3D" w:rsidRDefault="00420F2E" w:rsidP="00420F2E">
      <w:pPr>
        <w:jc w:val="both"/>
        <w:rPr>
          <w:sz w:val="22"/>
          <w:szCs w:val="22"/>
          <w:lang w:val="hr-HR"/>
        </w:rPr>
      </w:pPr>
    </w:p>
    <w:p w14:paraId="427D6AD7" w14:textId="77777777" w:rsidR="00420F2E" w:rsidRPr="00EA3F3D" w:rsidRDefault="00420F2E" w:rsidP="00420F2E">
      <w:pPr>
        <w:numPr>
          <w:ilvl w:val="0"/>
          <w:numId w:val="5"/>
        </w:numPr>
        <w:ind w:left="567" w:hanging="567"/>
        <w:jc w:val="both"/>
        <w:rPr>
          <w:sz w:val="22"/>
          <w:szCs w:val="22"/>
          <w:lang w:val="hr-HR"/>
        </w:rPr>
      </w:pPr>
      <w:r w:rsidRPr="00EA3F3D">
        <w:rPr>
          <w:sz w:val="22"/>
          <w:szCs w:val="22"/>
          <w:lang w:val="hr-HR"/>
        </w:rPr>
        <w:t>Gradonačelnik Grada Poreča-</w:t>
      </w:r>
      <w:proofErr w:type="spellStart"/>
      <w:r w:rsidRPr="00EA3F3D">
        <w:rPr>
          <w:sz w:val="22"/>
          <w:szCs w:val="22"/>
          <w:lang w:val="hr-HR"/>
        </w:rPr>
        <w:t>Parenzo</w:t>
      </w:r>
      <w:proofErr w:type="spellEnd"/>
      <w:r w:rsidRPr="00EA3F3D">
        <w:rPr>
          <w:sz w:val="22"/>
          <w:szCs w:val="22"/>
          <w:lang w:val="hr-HR"/>
        </w:rPr>
        <w:t xml:space="preserve"> zadržava pravo poništiti javni natječaj za sve ili pojedino zemljište, bez obveze da ponuditeljima obrazlaže razloge poništenja javnog natječaja.</w:t>
      </w:r>
    </w:p>
    <w:p w14:paraId="60788CAD" w14:textId="77777777" w:rsidR="00420F2E" w:rsidRPr="00EA3F3D" w:rsidRDefault="00420F2E" w:rsidP="00420F2E">
      <w:pPr>
        <w:ind w:left="284" w:hanging="284"/>
        <w:jc w:val="both"/>
        <w:rPr>
          <w:sz w:val="22"/>
          <w:szCs w:val="22"/>
          <w:lang w:val="hr-HR"/>
        </w:rPr>
      </w:pPr>
    </w:p>
    <w:p w14:paraId="0BB9C023" w14:textId="77777777" w:rsidR="00420F2E" w:rsidRPr="00EA3F3D" w:rsidRDefault="00420F2E" w:rsidP="00420F2E">
      <w:pPr>
        <w:ind w:left="284" w:hanging="284"/>
        <w:jc w:val="both"/>
        <w:rPr>
          <w:sz w:val="22"/>
          <w:szCs w:val="22"/>
          <w:lang w:val="hr-HR"/>
        </w:rPr>
      </w:pPr>
    </w:p>
    <w:p w14:paraId="700CB8C8" w14:textId="77777777" w:rsidR="00420F2E" w:rsidRPr="00EA3F3D" w:rsidRDefault="00420F2E" w:rsidP="00420F2E">
      <w:pPr>
        <w:ind w:left="284" w:hanging="284"/>
        <w:jc w:val="both"/>
        <w:rPr>
          <w:sz w:val="22"/>
          <w:szCs w:val="22"/>
          <w:lang w:val="hr-HR"/>
        </w:rPr>
      </w:pPr>
    </w:p>
    <w:p w14:paraId="3319C818" w14:textId="77777777" w:rsidR="00420F2E" w:rsidRPr="00EA3F3D" w:rsidRDefault="00420F2E" w:rsidP="00420F2E">
      <w:pPr>
        <w:jc w:val="both"/>
        <w:rPr>
          <w:sz w:val="22"/>
          <w:szCs w:val="22"/>
          <w:lang w:val="hr-HR"/>
        </w:rPr>
      </w:pPr>
    </w:p>
    <w:p w14:paraId="7F1E08DF" w14:textId="77777777" w:rsidR="00420F2E" w:rsidRPr="00EA3F3D" w:rsidRDefault="00420F2E" w:rsidP="00420F2E">
      <w:pPr>
        <w:ind w:left="5954"/>
        <w:jc w:val="center"/>
        <w:rPr>
          <w:b/>
          <w:sz w:val="22"/>
          <w:szCs w:val="22"/>
          <w:lang w:val="hr-HR"/>
        </w:rPr>
      </w:pPr>
      <w:r w:rsidRPr="00EA3F3D">
        <w:rPr>
          <w:b/>
          <w:sz w:val="22"/>
          <w:szCs w:val="22"/>
          <w:lang w:val="hr-HR"/>
        </w:rPr>
        <w:t>Gradonačelnik</w:t>
      </w:r>
    </w:p>
    <w:p w14:paraId="3E475024" w14:textId="77777777" w:rsidR="00420F2E" w:rsidRPr="00EA3F3D" w:rsidRDefault="00420F2E" w:rsidP="00420F2E">
      <w:pPr>
        <w:ind w:left="5954"/>
        <w:jc w:val="center"/>
        <w:rPr>
          <w:sz w:val="22"/>
          <w:szCs w:val="22"/>
          <w:lang w:val="hr-HR"/>
        </w:rPr>
      </w:pPr>
      <w:r w:rsidRPr="00EA3F3D">
        <w:rPr>
          <w:sz w:val="22"/>
          <w:szCs w:val="22"/>
          <w:lang w:val="hr-HR"/>
        </w:rPr>
        <w:t>Loris Peršurić</w:t>
      </w:r>
    </w:p>
    <w:p w14:paraId="50DA5C1B" w14:textId="77777777" w:rsidR="00420F2E" w:rsidRDefault="00420F2E" w:rsidP="00420F2E">
      <w:pPr>
        <w:ind w:right="-1"/>
        <w:jc w:val="both"/>
        <w:rPr>
          <w:sz w:val="22"/>
          <w:szCs w:val="22"/>
          <w:lang w:val="hr-HR"/>
        </w:rPr>
      </w:pPr>
    </w:p>
    <w:p w14:paraId="640C4848" w14:textId="77777777" w:rsidR="00420F2E" w:rsidRDefault="00420F2E" w:rsidP="00420F2E">
      <w:pPr>
        <w:ind w:right="-1"/>
        <w:jc w:val="both"/>
        <w:rPr>
          <w:sz w:val="22"/>
          <w:szCs w:val="22"/>
          <w:lang w:val="hr-HR"/>
        </w:rPr>
      </w:pPr>
    </w:p>
    <w:p w14:paraId="463DCF24" w14:textId="77777777" w:rsidR="00420F2E" w:rsidRPr="004C41E1" w:rsidRDefault="00420F2E" w:rsidP="00420F2E">
      <w:pPr>
        <w:ind w:right="-1"/>
        <w:jc w:val="both"/>
        <w:rPr>
          <w:sz w:val="22"/>
          <w:szCs w:val="22"/>
          <w:lang w:val="hr-HR"/>
        </w:rPr>
      </w:pPr>
    </w:p>
    <w:p w14:paraId="5D447FC5" w14:textId="77777777" w:rsidR="006E568B" w:rsidRDefault="006E568B"/>
    <w:sectPr w:rsidR="006E568B" w:rsidSect="00130E5F">
      <w:pgSz w:w="11906" w:h="16838"/>
      <w:pgMar w:top="568"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54F"/>
    <w:multiLevelType w:val="hybridMultilevel"/>
    <w:tmpl w:val="013EE30C"/>
    <w:lvl w:ilvl="0" w:tplc="041A0017">
      <w:start w:val="1"/>
      <w:numFmt w:val="lowerLetter"/>
      <w:lvlText w:val="%1)"/>
      <w:lvlJc w:val="left"/>
      <w:pPr>
        <w:ind w:left="1284" w:hanging="360"/>
      </w:pPr>
    </w:lvl>
    <w:lvl w:ilvl="1" w:tplc="041A0019" w:tentative="1">
      <w:start w:val="1"/>
      <w:numFmt w:val="lowerLetter"/>
      <w:lvlText w:val="%2."/>
      <w:lvlJc w:val="left"/>
      <w:pPr>
        <w:ind w:left="2004" w:hanging="360"/>
      </w:pPr>
    </w:lvl>
    <w:lvl w:ilvl="2" w:tplc="041A001B" w:tentative="1">
      <w:start w:val="1"/>
      <w:numFmt w:val="lowerRoman"/>
      <w:lvlText w:val="%3."/>
      <w:lvlJc w:val="right"/>
      <w:pPr>
        <w:ind w:left="2724" w:hanging="180"/>
      </w:pPr>
    </w:lvl>
    <w:lvl w:ilvl="3" w:tplc="041A000F" w:tentative="1">
      <w:start w:val="1"/>
      <w:numFmt w:val="decimal"/>
      <w:lvlText w:val="%4."/>
      <w:lvlJc w:val="left"/>
      <w:pPr>
        <w:ind w:left="3444" w:hanging="360"/>
      </w:pPr>
    </w:lvl>
    <w:lvl w:ilvl="4" w:tplc="041A0019" w:tentative="1">
      <w:start w:val="1"/>
      <w:numFmt w:val="lowerLetter"/>
      <w:lvlText w:val="%5."/>
      <w:lvlJc w:val="left"/>
      <w:pPr>
        <w:ind w:left="4164" w:hanging="360"/>
      </w:pPr>
    </w:lvl>
    <w:lvl w:ilvl="5" w:tplc="041A001B" w:tentative="1">
      <w:start w:val="1"/>
      <w:numFmt w:val="lowerRoman"/>
      <w:lvlText w:val="%6."/>
      <w:lvlJc w:val="right"/>
      <w:pPr>
        <w:ind w:left="4884" w:hanging="180"/>
      </w:pPr>
    </w:lvl>
    <w:lvl w:ilvl="6" w:tplc="041A000F" w:tentative="1">
      <w:start w:val="1"/>
      <w:numFmt w:val="decimal"/>
      <w:lvlText w:val="%7."/>
      <w:lvlJc w:val="left"/>
      <w:pPr>
        <w:ind w:left="5604" w:hanging="360"/>
      </w:pPr>
    </w:lvl>
    <w:lvl w:ilvl="7" w:tplc="041A0019" w:tentative="1">
      <w:start w:val="1"/>
      <w:numFmt w:val="lowerLetter"/>
      <w:lvlText w:val="%8."/>
      <w:lvlJc w:val="left"/>
      <w:pPr>
        <w:ind w:left="6324" w:hanging="360"/>
      </w:pPr>
    </w:lvl>
    <w:lvl w:ilvl="8" w:tplc="041A001B" w:tentative="1">
      <w:start w:val="1"/>
      <w:numFmt w:val="lowerRoman"/>
      <w:lvlText w:val="%9."/>
      <w:lvlJc w:val="right"/>
      <w:pPr>
        <w:ind w:left="7044" w:hanging="180"/>
      </w:pPr>
    </w:lvl>
  </w:abstractNum>
  <w:abstractNum w:abstractNumId="1" w15:restartNumberingAfterBreak="0">
    <w:nsid w:val="2E396E15"/>
    <w:multiLevelType w:val="hybridMultilevel"/>
    <w:tmpl w:val="2C46FB98"/>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2AD2184"/>
    <w:multiLevelType w:val="hybridMultilevel"/>
    <w:tmpl w:val="47F6FD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D15742F"/>
    <w:multiLevelType w:val="hybridMultilevel"/>
    <w:tmpl w:val="1506CCE8"/>
    <w:lvl w:ilvl="0" w:tplc="00B2ECB8">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 w15:restartNumberingAfterBreak="0">
    <w:nsid w:val="670C0A83"/>
    <w:multiLevelType w:val="hybridMultilevel"/>
    <w:tmpl w:val="F1A6250E"/>
    <w:lvl w:ilvl="0" w:tplc="041A0017">
      <w:start w:val="1"/>
      <w:numFmt w:val="lowerLetter"/>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2E"/>
    <w:rsid w:val="00420F2E"/>
    <w:rsid w:val="006E56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3DF6"/>
  <w15:chartTrackingRefBased/>
  <w15:docId w15:val="{E28E5CD4-21F4-42AE-8077-71EC19AA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F2E"/>
    <w:pPr>
      <w:spacing w:after="0" w:line="240" w:lineRule="auto"/>
    </w:pPr>
    <w:rPr>
      <w:rFonts w:ascii="Times New Roman" w:eastAsia="Times New Roman" w:hAnsi="Times New Roman" w:cs="Times New Roman"/>
      <w:sz w:val="20"/>
      <w:szCs w:val="20"/>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rsid w:val="00420F2E"/>
    <w:pPr>
      <w:jc w:val="both"/>
    </w:pPr>
    <w:rPr>
      <w:sz w:val="24"/>
      <w:lang w:val="hr-HR"/>
    </w:rPr>
  </w:style>
  <w:style w:type="character" w:customStyle="1" w:styleId="Tijeloteksta2Char">
    <w:name w:val="Tijelo teksta 2 Char"/>
    <w:basedOn w:val="Zadanifontodlomka"/>
    <w:link w:val="Tijeloteksta2"/>
    <w:rsid w:val="00420F2E"/>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rec.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Radolović</dc:creator>
  <cp:keywords/>
  <dc:description/>
  <cp:lastModifiedBy>Dolores Radolović</cp:lastModifiedBy>
  <cp:revision>1</cp:revision>
  <dcterms:created xsi:type="dcterms:W3CDTF">2026-07-17T09:06:00Z</dcterms:created>
  <dcterms:modified xsi:type="dcterms:W3CDTF">2026-07-17T09:10:00Z</dcterms:modified>
</cp:coreProperties>
</file>